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47" w:rsidRPr="00215008" w:rsidRDefault="00F60847" w:rsidP="00F60847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0847" w:rsidRDefault="00F60847" w:rsidP="00F60847">
      <w:pPr>
        <w:pStyle w:val="a3"/>
        <w:widowControl w:val="0"/>
        <w:tabs>
          <w:tab w:val="left" w:pos="1134"/>
        </w:tabs>
        <w:ind w:right="-610" w:firstLine="567"/>
        <w:jc w:val="both"/>
        <w:outlineLvl w:val="0"/>
        <w:rPr>
          <w:rFonts w:eastAsia="Times New Roman" w:cs="Times New Roman"/>
          <w:szCs w:val="28"/>
        </w:rPr>
      </w:pPr>
    </w:p>
    <w:p w:rsidR="00F60847" w:rsidRDefault="00F60847" w:rsidP="00F60847">
      <w:pPr>
        <w:pStyle w:val="a3"/>
        <w:widowControl w:val="0"/>
        <w:tabs>
          <w:tab w:val="left" w:pos="1134"/>
        </w:tabs>
        <w:ind w:right="-610" w:firstLine="567"/>
        <w:jc w:val="both"/>
        <w:outlineLvl w:val="0"/>
        <w:rPr>
          <w:rFonts w:eastAsia="Times New Roman" w:cs="Times New Roman"/>
          <w:szCs w:val="28"/>
        </w:rPr>
      </w:pPr>
    </w:p>
    <w:p w:rsidR="00F60847" w:rsidRDefault="00F60847" w:rsidP="00F60847">
      <w:pPr>
        <w:pStyle w:val="a3"/>
        <w:widowControl w:val="0"/>
        <w:tabs>
          <w:tab w:val="left" w:pos="1134"/>
        </w:tabs>
        <w:ind w:right="-610" w:firstLine="567"/>
        <w:jc w:val="both"/>
        <w:outlineLvl w:val="0"/>
        <w:rPr>
          <w:rFonts w:eastAsia="Times New Roman" w:cs="Times New Roman"/>
          <w:szCs w:val="28"/>
        </w:rPr>
      </w:pPr>
    </w:p>
    <w:p w:rsidR="00F60847" w:rsidRPr="008C0A7A" w:rsidRDefault="00F60847" w:rsidP="00F60847">
      <w:pPr>
        <w:spacing w:before="360" w:after="60"/>
        <w:jc w:val="center"/>
        <w:rPr>
          <w:rFonts w:ascii="AcademyC" w:eastAsia="Calibri" w:hAnsi="AcademyC" w:cs="Calibri"/>
          <w:b/>
          <w:color w:val="002060"/>
          <w:lang w:val="uk-UA" w:eastAsia="en-US"/>
        </w:rPr>
      </w:pPr>
      <w:r w:rsidRPr="008C0A7A">
        <w:rPr>
          <w:noProof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3DFC26ED" wp14:editId="0D6E280B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0A7A">
        <w:rPr>
          <w:rFonts w:ascii="AcademyC" w:eastAsia="Calibri" w:hAnsi="AcademyC" w:cs="Calibri"/>
          <w:b/>
          <w:color w:val="002060"/>
          <w:lang w:val="uk-UA" w:eastAsia="en-US"/>
        </w:rPr>
        <w:t>УКРАЇНА</w:t>
      </w:r>
    </w:p>
    <w:p w:rsidR="00F60847" w:rsidRPr="008C0A7A" w:rsidRDefault="00F60847" w:rsidP="00F60847">
      <w:pPr>
        <w:spacing w:after="60"/>
        <w:jc w:val="center"/>
        <w:rPr>
          <w:rFonts w:ascii="AcademyC" w:eastAsia="Calibri" w:hAnsi="AcademyC" w:cs="Calibri"/>
          <w:b/>
          <w:color w:val="002060"/>
          <w:sz w:val="28"/>
          <w:lang w:val="uk-UA" w:eastAsia="en-US"/>
        </w:rPr>
      </w:pPr>
      <w:r w:rsidRPr="008C0A7A">
        <w:rPr>
          <w:rFonts w:ascii="AcademyC" w:eastAsia="Calibri" w:hAnsi="AcademyC" w:cs="Calibri"/>
          <w:b/>
          <w:color w:val="002060"/>
          <w:sz w:val="28"/>
          <w:lang w:val="uk-UA" w:eastAsia="en-US"/>
        </w:rPr>
        <w:t>ВИЩА  РАДА  ПРАВОСУДДЯ</w:t>
      </w:r>
    </w:p>
    <w:p w:rsidR="00F60847" w:rsidRPr="008C0A7A" w:rsidRDefault="00F60847" w:rsidP="00F60847">
      <w:pPr>
        <w:spacing w:after="240"/>
        <w:jc w:val="center"/>
        <w:rPr>
          <w:rFonts w:ascii="AcademyC" w:eastAsia="Calibri" w:hAnsi="AcademyC" w:cs="Calibri"/>
          <w:b/>
          <w:color w:val="002060"/>
          <w:sz w:val="28"/>
          <w:lang w:val="uk-UA" w:eastAsia="en-US"/>
        </w:rPr>
      </w:pPr>
      <w:r w:rsidRPr="008C0A7A">
        <w:rPr>
          <w:rFonts w:ascii="AcademyC" w:eastAsia="Calibri" w:hAnsi="AcademyC" w:cs="Calibri"/>
          <w:b/>
          <w:color w:val="002060"/>
          <w:sz w:val="28"/>
          <w:lang w:val="uk-UA" w:eastAsia="en-US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3543"/>
        <w:gridCol w:w="5760"/>
      </w:tblGrid>
      <w:tr w:rsidR="00F60847" w:rsidRPr="002A7E11" w:rsidTr="00715AE9">
        <w:trPr>
          <w:trHeight w:val="188"/>
        </w:trPr>
        <w:tc>
          <w:tcPr>
            <w:tcW w:w="3369" w:type="dxa"/>
            <w:hideMark/>
          </w:tcPr>
          <w:p w:rsidR="00F60847" w:rsidRPr="002A7E11" w:rsidRDefault="00F60847" w:rsidP="00715AE9">
            <w:pPr>
              <w:spacing w:after="200"/>
              <w:ind w:right="-2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</w:p>
          <w:p w:rsidR="00F60847" w:rsidRPr="002A7E11" w:rsidRDefault="00F60847" w:rsidP="00715AE9">
            <w:pPr>
              <w:spacing w:after="200"/>
              <w:ind w:right="-2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  <w:r w:rsidRPr="002A7E11"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en-US" w:eastAsia="en-US"/>
              </w:rPr>
              <w:t>22 вересня</w:t>
            </w:r>
            <w:r w:rsidRPr="002A7E11"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  <w:t xml:space="preserve"> 2020 року </w:t>
            </w:r>
          </w:p>
        </w:tc>
        <w:tc>
          <w:tcPr>
            <w:tcW w:w="3543" w:type="dxa"/>
            <w:hideMark/>
          </w:tcPr>
          <w:p w:rsidR="00F60847" w:rsidRPr="002A7E11" w:rsidRDefault="00F60847" w:rsidP="00715AE9">
            <w:pPr>
              <w:spacing w:after="200"/>
              <w:ind w:right="-2" w:hanging="109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  <w:r w:rsidRPr="002A7E11"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            Київ</w:t>
            </w:r>
          </w:p>
        </w:tc>
        <w:tc>
          <w:tcPr>
            <w:tcW w:w="5760" w:type="dxa"/>
            <w:hideMark/>
          </w:tcPr>
          <w:p w:rsidR="00F60847" w:rsidRPr="002A7E11" w:rsidRDefault="00F60847" w:rsidP="00715AE9">
            <w:pPr>
              <w:spacing w:after="200"/>
              <w:ind w:left="459" w:right="-2"/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</w:pPr>
            <w:r w:rsidRPr="002A7E11"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     </w:t>
            </w:r>
          </w:p>
          <w:p w:rsidR="00F60847" w:rsidRPr="002A7E11" w:rsidRDefault="00F60847" w:rsidP="00715AE9">
            <w:pPr>
              <w:spacing w:after="200"/>
              <w:ind w:left="459" w:right="-2"/>
              <w:rPr>
                <w:rFonts w:ascii="Times New Roman" w:eastAsia="Calibri" w:hAnsi="Times New Roman" w:cs="Calibri"/>
                <w:b/>
                <w:noProof/>
                <w:color w:val="000000"/>
                <w:sz w:val="27"/>
                <w:szCs w:val="27"/>
                <w:lang w:val="uk-UA" w:eastAsia="en-US"/>
              </w:rPr>
            </w:pPr>
            <w:r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  </w:t>
            </w:r>
            <w:r w:rsidRPr="002A7E11"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 xml:space="preserve"> </w:t>
            </w:r>
            <w:r w:rsidR="00D35D22">
              <w:rPr>
                <w:rFonts w:ascii="Times New Roman" w:eastAsia="Calibri" w:hAnsi="Times New Roman" w:cs="Calibri"/>
                <w:b/>
                <w:color w:val="000000"/>
                <w:sz w:val="27"/>
                <w:szCs w:val="27"/>
                <w:lang w:val="uk-UA" w:eastAsia="en-US"/>
              </w:rPr>
              <w:t>№ 2693</w:t>
            </w:r>
            <w:r w:rsidRPr="002A7E11">
              <w:rPr>
                <w:rFonts w:ascii="Times New Roman" w:eastAsia="Calibri" w:hAnsi="Times New Roman" w:cs="Calibri"/>
                <w:b/>
                <w:sz w:val="27"/>
                <w:szCs w:val="27"/>
                <w:lang w:val="uk-UA" w:eastAsia="en-US"/>
              </w:rPr>
              <w:t>/0/15-20</w:t>
            </w:r>
            <w:r w:rsidRPr="002A7E11">
              <w:rPr>
                <w:rFonts w:ascii="Times New Roman" w:eastAsia="Calibri" w:hAnsi="Times New Roman" w:cs="Calibri"/>
                <w:sz w:val="27"/>
                <w:szCs w:val="27"/>
                <w:lang w:val="uk-UA" w:eastAsia="en-US"/>
              </w:rPr>
              <w:t xml:space="preserve">  </w:t>
            </w:r>
          </w:p>
        </w:tc>
      </w:tr>
    </w:tbl>
    <w:p w:rsidR="00F60847" w:rsidRPr="002A7E11" w:rsidRDefault="00F60847" w:rsidP="00F60847">
      <w:pPr>
        <w:rPr>
          <w:sz w:val="27"/>
          <w:szCs w:val="27"/>
          <w:lang w:val="uk-U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644"/>
        <w:gridCol w:w="4995"/>
      </w:tblGrid>
      <w:tr w:rsidR="00F60847" w:rsidRPr="008C0A7A" w:rsidTr="00715AE9">
        <w:tc>
          <w:tcPr>
            <w:tcW w:w="4644" w:type="dxa"/>
          </w:tcPr>
          <w:p w:rsidR="00F60847" w:rsidRPr="008C0A7A" w:rsidRDefault="00F60847" w:rsidP="00715AE9">
            <w:pPr>
              <w:ind w:right="-253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  <w:p w:rsidR="00F60847" w:rsidRPr="008C0A7A" w:rsidRDefault="00F60847" w:rsidP="00715AE9">
            <w:pPr>
              <w:ind w:right="-253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404893">
              <w:rPr>
                <w:rFonts w:ascii="Times New Roman" w:hAnsi="Times New Roman" w:cs="Times New Roman"/>
                <w:b/>
                <w:sz w:val="24"/>
              </w:rPr>
              <w:t xml:space="preserve">Про </w:t>
            </w:r>
            <w:proofErr w:type="spellStart"/>
            <w:r w:rsidRPr="00404893">
              <w:rPr>
                <w:rFonts w:ascii="Times New Roman" w:hAnsi="Times New Roman" w:cs="Times New Roman"/>
                <w:b/>
                <w:sz w:val="24"/>
              </w:rPr>
              <w:t>надання</w:t>
            </w:r>
            <w:proofErr w:type="spellEnd"/>
            <w:r w:rsidRPr="00404893">
              <w:rPr>
                <w:rFonts w:ascii="Times New Roman" w:hAnsi="Times New Roman" w:cs="Times New Roman"/>
                <w:b/>
                <w:sz w:val="24"/>
              </w:rPr>
              <w:t xml:space="preserve"> консуль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тативного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висновку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що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законопроє</w:t>
            </w:r>
            <w:r w:rsidRPr="00404893">
              <w:rPr>
                <w:rFonts w:ascii="Times New Roman" w:hAnsi="Times New Roman" w:cs="Times New Roman"/>
                <w:b/>
                <w:sz w:val="24"/>
              </w:rPr>
              <w:t>кту</w:t>
            </w:r>
            <w:proofErr w:type="spellEnd"/>
            <w:r w:rsidRPr="00404893">
              <w:rPr>
                <w:rFonts w:ascii="Times New Roman" w:hAnsi="Times New Roman" w:cs="Times New Roman"/>
                <w:b/>
                <w:sz w:val="24"/>
              </w:rPr>
              <w:t xml:space="preserve"> №</w:t>
            </w:r>
            <w:r w:rsidRPr="00404893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="00A03C44">
              <w:rPr>
                <w:rFonts w:ascii="Times New Roman" w:hAnsi="Times New Roman" w:cs="Times New Roman"/>
                <w:b/>
                <w:sz w:val="24"/>
                <w:lang w:val="uk-UA"/>
              </w:rPr>
              <w:t>3624</w:t>
            </w:r>
          </w:p>
        </w:tc>
        <w:tc>
          <w:tcPr>
            <w:tcW w:w="4995" w:type="dxa"/>
          </w:tcPr>
          <w:p w:rsidR="00F60847" w:rsidRPr="008C0A7A" w:rsidRDefault="00F60847" w:rsidP="00715AE9">
            <w:pPr>
              <w:ind w:left="-675" w:firstLine="851"/>
              <w:jc w:val="both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</w:p>
        </w:tc>
      </w:tr>
    </w:tbl>
    <w:p w:rsidR="00F60847" w:rsidRPr="008C0A7A" w:rsidRDefault="00F60847" w:rsidP="00F608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0847" w:rsidRDefault="00F60847" w:rsidP="00F60847">
      <w:pPr>
        <w:pStyle w:val="a3"/>
        <w:widowControl w:val="0"/>
        <w:tabs>
          <w:tab w:val="left" w:pos="1134"/>
        </w:tabs>
        <w:ind w:right="-610" w:firstLine="567"/>
        <w:jc w:val="both"/>
        <w:outlineLvl w:val="0"/>
        <w:rPr>
          <w:rFonts w:eastAsia="Times New Roman" w:cs="Times New Roman"/>
          <w:szCs w:val="28"/>
        </w:rPr>
      </w:pPr>
    </w:p>
    <w:p w:rsidR="00A03C44" w:rsidRPr="00A03C44" w:rsidRDefault="00A03C44" w:rsidP="00A03C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03C44" w:rsidRPr="00A03C44" w:rsidRDefault="00A03C44" w:rsidP="00A03C44">
      <w:pPr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Вища рада правосуддя розглянула </w:t>
      </w:r>
      <w:proofErr w:type="spellStart"/>
      <w:r w:rsidRPr="00A03C4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внесення змін до Закону України </w:t>
      </w:r>
      <w:r w:rsidRPr="00A03C44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«Про судоустрій і статус суддів» у зв’язку із запровадженням обліку трудової діяльності працівника в електронній формі»</w:t>
      </w:r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реєстраційний № 3624 від 10 червня 2020 року, внесений на розгляд Верховної Ради України у порядку законодавчої ініціативи </w:t>
      </w:r>
      <w:r w:rsidRPr="00A03C44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Кабінетом Міністрів України.</w:t>
      </w:r>
    </w:p>
    <w:p w:rsidR="00A03C44" w:rsidRPr="00A03C44" w:rsidRDefault="00A03C44" w:rsidP="00A03C4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15 частини першої статті 3 Закону України «Про Вищу раду правосуддя» Вища рада правосуддя надає обов’язкові до розгляду консультативні висновки щодо </w:t>
      </w:r>
      <w:proofErr w:type="spellStart"/>
      <w:r w:rsidRPr="00A03C44">
        <w:rPr>
          <w:rFonts w:ascii="Times New Roman" w:hAnsi="Times New Roman" w:cs="Times New Roman"/>
          <w:sz w:val="28"/>
          <w:szCs w:val="28"/>
          <w:lang w:val="uk-UA"/>
        </w:rPr>
        <w:t>законопроєктів</w:t>
      </w:r>
      <w:proofErr w:type="spellEnd"/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 із питань утворення, реорганізації чи ліквідації судів, судоустрою і статусу суддів.</w:t>
      </w:r>
    </w:p>
    <w:p w:rsidR="00A03C44" w:rsidRPr="00A03C44" w:rsidRDefault="00A03C44" w:rsidP="00A03C4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розгляду вказаного </w:t>
      </w:r>
      <w:proofErr w:type="spellStart"/>
      <w:r w:rsidRPr="00A03C44">
        <w:rPr>
          <w:rFonts w:ascii="Times New Roman" w:hAnsi="Times New Roman" w:cs="Times New Roman"/>
          <w:sz w:val="28"/>
          <w:szCs w:val="28"/>
          <w:lang w:val="uk-UA"/>
        </w:rPr>
        <w:t>законопроєкту</w:t>
      </w:r>
      <w:proofErr w:type="spellEnd"/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                  статтею 131 Конституції України, статтями 3, 34 Закону України «Про Вищу раду правосуддя», Вища рада правосуддя </w:t>
      </w:r>
    </w:p>
    <w:p w:rsidR="00A03C44" w:rsidRPr="00A03C44" w:rsidRDefault="00A03C44" w:rsidP="00A03C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03C44" w:rsidRPr="00A03C44" w:rsidRDefault="00A03C44" w:rsidP="00A03C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3C4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03C44" w:rsidRPr="00A03C44" w:rsidRDefault="00A03C44" w:rsidP="00A03C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03C44" w:rsidRPr="00A03C44" w:rsidRDefault="00A03C44" w:rsidP="00A03C44">
      <w:pPr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консультативний висновок щодо </w:t>
      </w:r>
      <w:proofErr w:type="spellStart"/>
      <w:r w:rsidRPr="00A03C4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внесення змін до Закону України </w:t>
      </w:r>
      <w:r w:rsidRPr="00A03C44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«Про судоустрій і статус суддів» у зв’язку із запровадженням обліку трудової діяльності працівника в електронній формі»,</w:t>
      </w:r>
      <w:r w:rsidRPr="00A03C44">
        <w:rPr>
          <w:rFonts w:ascii="Times New Roman" w:hAnsi="Times New Roman" w:cs="Times New Roman"/>
          <w:sz w:val="28"/>
          <w:szCs w:val="28"/>
          <w:lang w:val="uk-UA"/>
        </w:rPr>
        <w:t xml:space="preserve">  реєстраційний № 3624 від 10 червня 2020 року, внесеного на розгляд Верховної Ради України у порядку законодавчої ініціативи </w:t>
      </w:r>
      <w:r w:rsidRPr="00A03C44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Кабінетом Міністрів України.</w:t>
      </w:r>
    </w:p>
    <w:p w:rsidR="00A03C44" w:rsidRPr="00A03C44" w:rsidRDefault="00A03C44" w:rsidP="00A03C44">
      <w:pPr>
        <w:ind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A03C44">
        <w:rPr>
          <w:rFonts w:ascii="Times New Roman" w:hAnsi="Times New Roman" w:cs="Times New Roman"/>
          <w:sz w:val="28"/>
          <w:szCs w:val="28"/>
          <w:lang w:val="uk-UA"/>
        </w:rPr>
        <w:t>2. Надіслати консультативний висновок до Верховної Ради України.</w:t>
      </w:r>
    </w:p>
    <w:p w:rsidR="00A03C44" w:rsidRPr="00A03C44" w:rsidRDefault="00A03C44" w:rsidP="00A03C4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C44" w:rsidRPr="00A03C44" w:rsidRDefault="00A03C44" w:rsidP="00A03C4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C44" w:rsidRPr="00A03C44" w:rsidRDefault="00A03C44" w:rsidP="00A03C4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C44" w:rsidRPr="00A03C44" w:rsidRDefault="00A03C44" w:rsidP="00A03C44">
      <w:pPr>
        <w:jc w:val="both"/>
        <w:rPr>
          <w:rFonts w:ascii="Times New Roman" w:hAnsi="Times New Roman" w:cs="Times New Roman"/>
          <w:sz w:val="28"/>
          <w:szCs w:val="28"/>
        </w:rPr>
      </w:pPr>
      <w:r w:rsidRPr="00A03C4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Вищої ради правосуддя</w:t>
      </w:r>
      <w:r w:rsidRPr="00A03C4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</w:t>
      </w:r>
      <w:r w:rsidRPr="00A03C4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A03C4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A03C4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А.А. </w:t>
      </w:r>
      <w:proofErr w:type="spellStart"/>
      <w:r w:rsidRPr="00A03C4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Овсіє</w:t>
      </w:r>
      <w:r w:rsidRPr="00A03C44">
        <w:rPr>
          <w:rFonts w:ascii="Times New Roman" w:eastAsia="Times New Roman" w:hAnsi="Times New Roman" w:cs="Times New Roman"/>
          <w:b/>
          <w:sz w:val="28"/>
          <w:szCs w:val="28"/>
        </w:rPr>
        <w:t>нко</w:t>
      </w:r>
      <w:proofErr w:type="spellEnd"/>
    </w:p>
    <w:p w:rsidR="00A03C44" w:rsidRPr="00A03C44" w:rsidRDefault="00A03C44" w:rsidP="00A03C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FFC" w:rsidRDefault="007B511D"/>
    <w:p w:rsidR="00D35D22" w:rsidRDefault="00D35D22"/>
    <w:p w:rsidR="00D35D22" w:rsidRDefault="00D35D22"/>
    <w:p w:rsidR="00D35D22" w:rsidRPr="008C0A7A" w:rsidRDefault="00D35D22" w:rsidP="00D35D22">
      <w:pPr>
        <w:pStyle w:val="a3"/>
        <w:tabs>
          <w:tab w:val="left" w:pos="5245"/>
        </w:tabs>
        <w:ind w:left="4395"/>
        <w:rPr>
          <w:rFonts w:cs="Times New Roman"/>
          <w:b/>
          <w:szCs w:val="28"/>
        </w:rPr>
      </w:pPr>
      <w:r w:rsidRPr="008C0A7A">
        <w:rPr>
          <w:rFonts w:cs="Times New Roman"/>
          <w:b/>
          <w:szCs w:val="28"/>
        </w:rPr>
        <w:lastRenderedPageBreak/>
        <w:t xml:space="preserve">ЗАТВЕРДЖЕНО </w:t>
      </w:r>
    </w:p>
    <w:p w:rsidR="00D35D22" w:rsidRPr="008C0A7A" w:rsidRDefault="00D35D22" w:rsidP="00D35D22">
      <w:pPr>
        <w:pStyle w:val="a3"/>
        <w:tabs>
          <w:tab w:val="left" w:pos="5245"/>
        </w:tabs>
        <w:ind w:left="4395"/>
        <w:rPr>
          <w:rFonts w:cs="Times New Roman"/>
          <w:b/>
          <w:szCs w:val="28"/>
        </w:rPr>
      </w:pPr>
      <w:r w:rsidRPr="008C0A7A">
        <w:rPr>
          <w:rFonts w:cs="Times New Roman"/>
          <w:b/>
          <w:szCs w:val="28"/>
        </w:rPr>
        <w:t>Рішення Вищої ради правосуддя</w:t>
      </w:r>
    </w:p>
    <w:p w:rsidR="00D35D22" w:rsidRPr="008C0A7A" w:rsidRDefault="00D35D22" w:rsidP="00D35D22">
      <w:pPr>
        <w:pStyle w:val="a3"/>
        <w:tabs>
          <w:tab w:val="left" w:pos="5245"/>
        </w:tabs>
        <w:ind w:left="4395"/>
        <w:rPr>
          <w:rFonts w:cs="Times New Roman"/>
          <w:b/>
          <w:szCs w:val="28"/>
        </w:rPr>
      </w:pPr>
      <w:r>
        <w:rPr>
          <w:rFonts w:cs="Times New Roman"/>
          <w:b/>
          <w:szCs w:val="28"/>
          <w:lang w:val="ru-RU"/>
        </w:rPr>
        <w:t xml:space="preserve">22 </w:t>
      </w:r>
      <w:proofErr w:type="spellStart"/>
      <w:r>
        <w:rPr>
          <w:rFonts w:cs="Times New Roman"/>
          <w:b/>
          <w:szCs w:val="28"/>
          <w:lang w:val="ru-RU"/>
        </w:rPr>
        <w:t>вересня</w:t>
      </w:r>
      <w:proofErr w:type="spellEnd"/>
      <w:r w:rsidR="00B52F9E">
        <w:rPr>
          <w:rFonts w:cs="Times New Roman"/>
          <w:b/>
          <w:szCs w:val="28"/>
        </w:rPr>
        <w:t xml:space="preserve"> 2020 року № 2693</w:t>
      </w:r>
      <w:r w:rsidRPr="008C0A7A">
        <w:rPr>
          <w:rFonts w:cs="Times New Roman"/>
          <w:b/>
          <w:szCs w:val="28"/>
        </w:rPr>
        <w:t>/0/15-20</w:t>
      </w:r>
    </w:p>
    <w:p w:rsidR="00D35D22" w:rsidRDefault="00D35D22" w:rsidP="00D35D22">
      <w:pPr>
        <w:pStyle w:val="a3"/>
        <w:jc w:val="center"/>
        <w:rPr>
          <w:rFonts w:cs="Times New Roman"/>
          <w:szCs w:val="28"/>
        </w:rPr>
      </w:pPr>
    </w:p>
    <w:p w:rsidR="00D35D22" w:rsidRPr="00D35D22" w:rsidRDefault="00D35D22" w:rsidP="00D35D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35D22">
        <w:rPr>
          <w:rFonts w:ascii="Times New Roman" w:hAnsi="Times New Roman" w:cs="Times New Roman"/>
          <w:sz w:val="28"/>
          <w:szCs w:val="28"/>
        </w:rPr>
        <w:t>КОНСУЛЬТАТИВНИЙ ВИСНОВОК</w:t>
      </w:r>
    </w:p>
    <w:p w:rsidR="00D35D22" w:rsidRPr="00D35D22" w:rsidRDefault="00D35D22" w:rsidP="00D35D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35D22">
        <w:rPr>
          <w:rFonts w:ascii="Times New Roman" w:hAnsi="Times New Roman" w:cs="Times New Roman"/>
          <w:sz w:val="28"/>
          <w:szCs w:val="28"/>
        </w:rPr>
        <w:t xml:space="preserve">щодо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№ 3624</w:t>
      </w:r>
    </w:p>
    <w:p w:rsidR="00D35D22" w:rsidRPr="00D35D22" w:rsidRDefault="00D35D22" w:rsidP="00D35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«Про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судоустрій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і статус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суддів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» у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зв’язку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із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запровадженням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обліку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трудової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діяльності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працівника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електронній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формі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»</w:t>
      </w:r>
      <w:r w:rsidRPr="00D35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реєстраційний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№ 3624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2020 року (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№ 3624), внесений на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5D22">
        <w:rPr>
          <w:rFonts w:ascii="Times New Roman" w:hAnsi="Times New Roman" w:cs="Times New Roman"/>
          <w:sz w:val="28"/>
          <w:szCs w:val="28"/>
        </w:rPr>
        <w:t>у порядку</w:t>
      </w:r>
      <w:proofErr w:type="gram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законодавчої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Кабінетом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Міністрів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Законопроєктом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№ 3624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вносяться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зміни </w:t>
      </w:r>
      <w:proofErr w:type="gramStart"/>
      <w:r w:rsidRPr="00D35D22">
        <w:rPr>
          <w:rFonts w:ascii="Times New Roman" w:hAnsi="Times New Roman" w:cs="Times New Roman"/>
          <w:sz w:val="28"/>
          <w:szCs w:val="28"/>
        </w:rPr>
        <w:t>до пункту</w:t>
      </w:r>
      <w:proofErr w:type="gramEnd"/>
      <w:r w:rsidRPr="00D35D22">
        <w:rPr>
          <w:rFonts w:ascii="Times New Roman" w:hAnsi="Times New Roman" w:cs="Times New Roman"/>
          <w:sz w:val="28"/>
          <w:szCs w:val="28"/>
        </w:rPr>
        <w:t xml:space="preserve"> 7 частини першої статті 71, пункту 4 частини четвертої статті 95 Закону України «Про судоустрій і статус суддів» </w:t>
      </w:r>
      <w:r w:rsidRPr="00D35D22">
        <w:rPr>
          <w:rFonts w:ascii="Times New Roman" w:hAnsi="Times New Roman" w:cs="Times New Roman"/>
          <w:spacing w:val="-4"/>
          <w:sz w:val="28"/>
          <w:szCs w:val="28"/>
        </w:rPr>
        <w:t xml:space="preserve">з метою приведення у відповідність переліку документів, що подають кандидати на посаду судді та </w:t>
      </w:r>
      <w:r w:rsidRPr="00D35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кандидати на посаду члена Вищої кваліфікаційної комісії суддів України,</w:t>
      </w:r>
      <w:r w:rsidRPr="00D35D22">
        <w:rPr>
          <w:rFonts w:ascii="Times New Roman" w:hAnsi="Times New Roman" w:cs="Times New Roman"/>
          <w:spacing w:val="-4"/>
          <w:sz w:val="28"/>
          <w:szCs w:val="28"/>
        </w:rPr>
        <w:t xml:space="preserve"> у </w:t>
      </w:r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зв’язку із запровадженням обліку трудової діяльності працівника в електронній формі.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D22">
        <w:rPr>
          <w:rFonts w:ascii="Times New Roman" w:hAnsi="Times New Roman" w:cs="Times New Roman"/>
          <w:sz w:val="28"/>
          <w:szCs w:val="28"/>
          <w:lang w:val="uk-UA"/>
        </w:rPr>
        <w:t>Передбачається, що Закон України</w:t>
      </w:r>
      <w:r w:rsidRPr="00D35D22">
        <w:rPr>
          <w:rFonts w:ascii="Times New Roman" w:eastAsia="Calibri" w:hAnsi="Times New Roman" w:cs="Times New Roman"/>
          <w:bCs/>
          <w:spacing w:val="-4"/>
          <w:sz w:val="28"/>
          <w:szCs w:val="28"/>
          <w:lang w:val="uk-UA"/>
        </w:rPr>
        <w:t xml:space="preserve"> «</w:t>
      </w:r>
      <w:r w:rsidRPr="00D35D22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Закону України            «Про судоустрій і статус суддів» у зв’язку із запровадженням обліку трудової діяльності працівника в електронній формі»</w:t>
      </w:r>
      <w:r w:rsidRPr="00D35D22">
        <w:rPr>
          <w:rFonts w:ascii="Times New Roman" w:hAnsi="Times New Roman" w:cs="Times New Roman"/>
          <w:sz w:val="28"/>
          <w:szCs w:val="28"/>
          <w:lang w:val="uk-UA"/>
        </w:rPr>
        <w:t xml:space="preserve"> набирає чинності одночасно з набранням чинності та введенням в дію Закону України «Про </w:t>
      </w:r>
      <w:r w:rsidRPr="00D35D22">
        <w:rPr>
          <w:rFonts w:ascii="Times New Roman" w:hAnsi="Times New Roman" w:cs="Times New Roman"/>
          <w:bCs/>
          <w:sz w:val="28"/>
          <w:szCs w:val="28"/>
          <w:lang w:val="uk-UA"/>
        </w:rPr>
        <w:t>внесення змін до деяких законодавчих актів України щодо обліку трудової діяльності працівника в електронній формі</w:t>
      </w:r>
      <w:r w:rsidRPr="00D35D22">
        <w:rPr>
          <w:rFonts w:ascii="Times New Roman" w:hAnsi="Times New Roman" w:cs="Times New Roman"/>
          <w:sz w:val="28"/>
          <w:szCs w:val="28"/>
          <w:lang w:val="uk-UA"/>
        </w:rPr>
        <w:t>» (реєстраційний № 3623 від 10 червня 2020 року).</w:t>
      </w:r>
    </w:p>
    <w:p w:rsidR="00D35D22" w:rsidRPr="00D35D22" w:rsidRDefault="00D35D22" w:rsidP="00D35D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35D2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5D22">
        <w:rPr>
          <w:rFonts w:ascii="Times New Roman" w:hAnsi="Times New Roman" w:cs="Times New Roman"/>
          <w:sz w:val="28"/>
          <w:szCs w:val="28"/>
        </w:rPr>
        <w:t>до пункту</w:t>
      </w:r>
      <w:proofErr w:type="gramEnd"/>
      <w:r w:rsidRPr="00D35D22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3 Закону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2016 року № 1798-</w:t>
      </w:r>
      <w:r w:rsidRPr="00D35D2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35D2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обов’язкові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консультативні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законопроєктів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реорганізації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судоустрою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і статусу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суддів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Усі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проєкти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законів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стосуються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статусу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суддів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здійснення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процесуальних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законів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та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загальніше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будь-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які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законопроєкти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що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можуть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мати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вплив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судівництво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наприклад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незалежність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судової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влади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або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можуть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обмежити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гарантії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доступу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громадян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(у тому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числі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самих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суддів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) до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повинні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розглядатися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парламентом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лише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після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отримання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висновку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судової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ради.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Ця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консультативна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функція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повинна бути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визнана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усіма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державами та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підтверджена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Радою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Європи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як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рекомендація</w:t>
      </w:r>
      <w:proofErr w:type="spellEnd"/>
      <w:r w:rsidRPr="00D35D22">
        <w:rPr>
          <w:rStyle w:val="a6"/>
          <w:rFonts w:ascii="Times New Roman" w:hAnsi="Times New Roman"/>
          <w:iCs/>
          <w:sz w:val="28"/>
          <w:szCs w:val="28"/>
        </w:rPr>
        <w:footnoteReference w:id="1"/>
      </w:r>
      <w:r w:rsidRPr="00D35D22">
        <w:rPr>
          <w:rFonts w:ascii="Times New Roman" w:hAnsi="Times New Roman" w:cs="Times New Roman"/>
          <w:iCs/>
          <w:sz w:val="28"/>
          <w:szCs w:val="28"/>
        </w:rPr>
        <w:t>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D2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електронного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документування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умов для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більш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швидкого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та доступного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інформаційних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послуг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юридичним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особам шляхом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електронної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інформаційної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системи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>,</w:t>
      </w:r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r w:rsidRPr="00D35D22">
        <w:rPr>
          <w:rFonts w:ascii="Times New Roman" w:hAnsi="Times New Roman" w:cs="Times New Roman"/>
          <w:bCs/>
          <w:sz w:val="28"/>
          <w:szCs w:val="28"/>
        </w:rPr>
        <w:t xml:space="preserve">яка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забезпечує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взаємодію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органів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D35D22">
        <w:rPr>
          <w:rFonts w:ascii="Times New Roman" w:hAnsi="Times New Roman" w:cs="Times New Roman"/>
          <w:bCs/>
          <w:sz w:val="28"/>
          <w:szCs w:val="28"/>
        </w:rPr>
        <w:t>державної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влади</w:t>
      </w:r>
      <w:proofErr w:type="spellEnd"/>
      <w:proofErr w:type="gram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між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собою, з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громадянами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юридичними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особами на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основі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сучасних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інформаційних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z w:val="28"/>
          <w:szCs w:val="28"/>
        </w:rPr>
        <w:t>технологій</w:t>
      </w:r>
      <w:proofErr w:type="spellEnd"/>
      <w:r w:rsidRPr="00D35D22">
        <w:rPr>
          <w:rFonts w:ascii="Times New Roman" w:hAnsi="Times New Roman" w:cs="Times New Roman"/>
          <w:bCs/>
          <w:sz w:val="28"/>
          <w:szCs w:val="28"/>
        </w:rPr>
        <w:t>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35D22">
        <w:rPr>
          <w:rFonts w:ascii="Times New Roman" w:hAnsi="Times New Roman" w:cs="Times New Roman"/>
          <w:iCs/>
          <w:sz w:val="28"/>
          <w:szCs w:val="28"/>
        </w:rPr>
        <w:t xml:space="preserve">З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урахуванням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iCs/>
          <w:sz w:val="28"/>
          <w:szCs w:val="28"/>
        </w:rPr>
        <w:t>зазначеного</w:t>
      </w:r>
      <w:proofErr w:type="spellEnd"/>
      <w:r w:rsidRPr="00D35D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Pr="00D35D22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пункту 15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r w:rsidRPr="00D35D22">
        <w:rPr>
          <w:rFonts w:ascii="Times New Roman" w:hAnsi="Times New Roman" w:cs="Times New Roman"/>
          <w:sz w:val="28"/>
          <w:szCs w:val="28"/>
        </w:rPr>
        <w:lastRenderedPageBreak/>
        <w:t xml:space="preserve">3 Закону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11 лютого 2020 року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ухвалила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консультативного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проєктів</w:t>
      </w:r>
      <w:proofErr w:type="spellEnd"/>
      <w:r w:rsidRPr="00D35D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законів</w:t>
      </w:r>
      <w:proofErr w:type="spellEnd"/>
      <w:r w:rsidRPr="00D35D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«Про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внесення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змін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деяких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законодавчих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актів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щодо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обліку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трудової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діяльності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працівника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електронній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формі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»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від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27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грудня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2019 року,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реєстраційний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№ 2686, «Про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внесення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змін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до Закону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«Про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судоустрій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і статус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суддів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зв’язку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із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запровадженням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обліку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трудової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діяльності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працівника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електронній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формі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»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від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27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грудня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2019 року, 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реєстраційний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№ 2687,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внесених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на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розгляд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Верховної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Ради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порядку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законодавчої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ініціативи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Кабінетом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Міністрів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підтримала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      № 2686 та № 2687 за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нею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підтвердження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кандидатами на посаду члена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та члена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кваліфікаційної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суддів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застрахованих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загальнообов’язкового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трудову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законопроєктах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r w:rsidR="007B511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Pr="00D35D22">
        <w:rPr>
          <w:rFonts w:ascii="Times New Roman" w:hAnsi="Times New Roman" w:cs="Times New Roman"/>
          <w:sz w:val="28"/>
          <w:szCs w:val="28"/>
        </w:rPr>
        <w:t xml:space="preserve">№ 2686  (в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») та № 2687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перехідний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на час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>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враховані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відображені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№ 3624.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Законопроєктом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№ 3624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набирає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набранням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реєстраційний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номер № 3623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2020 року).</w:t>
      </w: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5D22">
        <w:rPr>
          <w:rFonts w:ascii="Times New Roman" w:hAnsi="Times New Roman" w:cs="Times New Roman"/>
          <w:sz w:val="28"/>
          <w:szCs w:val="28"/>
        </w:rPr>
        <w:t xml:space="preserve">Закону 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End"/>
      <w:r w:rsidRPr="00D35D2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Верховна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2020 року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прийняла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читанні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D22" w:rsidRPr="00D35D22" w:rsidRDefault="00D35D22" w:rsidP="00D35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5D22" w:rsidRPr="00D35D22" w:rsidRDefault="00D35D22" w:rsidP="00136E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Узгодженість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норм,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суперечностей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є не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загальними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водночас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закономірністю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цілісного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 xml:space="preserve">, системного </w:t>
      </w:r>
      <w:proofErr w:type="spellStart"/>
      <w:r w:rsidRPr="00D35D22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D35D22">
        <w:rPr>
          <w:rFonts w:ascii="Times New Roman" w:hAnsi="Times New Roman" w:cs="Times New Roman"/>
          <w:sz w:val="28"/>
          <w:szCs w:val="28"/>
        </w:rPr>
        <w:t>.</w:t>
      </w:r>
    </w:p>
    <w:p w:rsidR="00D35D22" w:rsidRPr="00D35D22" w:rsidRDefault="00D35D22" w:rsidP="00D35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5D22" w:rsidRPr="00D35D22" w:rsidRDefault="002D7F22" w:rsidP="002D7F2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proofErr w:type="spellStart"/>
      <w:r w:rsidR="00D35D22" w:rsidRPr="00D35D22">
        <w:rPr>
          <w:rFonts w:ascii="Times New Roman" w:hAnsi="Times New Roman" w:cs="Times New Roman"/>
          <w:b/>
          <w:sz w:val="28"/>
          <w:szCs w:val="28"/>
        </w:rPr>
        <w:t>огляду</w:t>
      </w:r>
      <w:proofErr w:type="spellEnd"/>
      <w:r w:rsidR="00D35D22" w:rsidRPr="00D35D22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D35D22" w:rsidRPr="00D35D22">
        <w:rPr>
          <w:rFonts w:ascii="Times New Roman" w:hAnsi="Times New Roman" w:cs="Times New Roman"/>
          <w:b/>
          <w:sz w:val="28"/>
          <w:szCs w:val="28"/>
        </w:rPr>
        <w:t>викладене</w:t>
      </w:r>
      <w:proofErr w:type="spellEnd"/>
      <w:r w:rsidR="00D35D22" w:rsidRPr="00D35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35D22" w:rsidRPr="00D35D22">
        <w:rPr>
          <w:rFonts w:ascii="Times New Roman" w:hAnsi="Times New Roman" w:cs="Times New Roman"/>
          <w:b/>
          <w:sz w:val="28"/>
          <w:szCs w:val="28"/>
        </w:rPr>
        <w:t>Вища</w:t>
      </w:r>
      <w:proofErr w:type="spellEnd"/>
      <w:r w:rsidR="00D35D22" w:rsidRPr="00D35D22">
        <w:rPr>
          <w:rFonts w:ascii="Times New Roman" w:hAnsi="Times New Roman" w:cs="Times New Roman"/>
          <w:b/>
          <w:sz w:val="28"/>
          <w:szCs w:val="28"/>
        </w:rPr>
        <w:t xml:space="preserve"> рада </w:t>
      </w:r>
      <w:proofErr w:type="spellStart"/>
      <w:r w:rsidR="00D35D22" w:rsidRPr="00D35D22">
        <w:rPr>
          <w:rFonts w:ascii="Times New Roman" w:hAnsi="Times New Roman" w:cs="Times New Roman"/>
          <w:b/>
          <w:sz w:val="28"/>
          <w:szCs w:val="28"/>
        </w:rPr>
        <w:t>правосуддя</w:t>
      </w:r>
      <w:proofErr w:type="spellEnd"/>
      <w:r w:rsidR="00D35D22" w:rsidRPr="00D35D22">
        <w:rPr>
          <w:rFonts w:ascii="Times New Roman" w:hAnsi="Times New Roman" w:cs="Times New Roman"/>
          <w:b/>
          <w:sz w:val="28"/>
          <w:szCs w:val="28"/>
        </w:rPr>
        <w:t xml:space="preserve"> в межах </w:t>
      </w:r>
      <w:proofErr w:type="spellStart"/>
      <w:r w:rsidR="00D35D22" w:rsidRPr="00D35D22">
        <w:rPr>
          <w:rFonts w:ascii="Times New Roman" w:hAnsi="Times New Roman" w:cs="Times New Roman"/>
          <w:b/>
          <w:sz w:val="28"/>
          <w:szCs w:val="28"/>
        </w:rPr>
        <w:t>компетенції</w:t>
      </w:r>
      <w:proofErr w:type="spellEnd"/>
      <w:r w:rsidR="00D35D22" w:rsidRPr="00D35D22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D35D22" w:rsidRPr="00D35D22">
        <w:rPr>
          <w:rFonts w:ascii="Times New Roman" w:hAnsi="Times New Roman" w:cs="Times New Roman"/>
          <w:b/>
          <w:sz w:val="28"/>
          <w:szCs w:val="28"/>
        </w:rPr>
        <w:t>підтримує</w:t>
      </w:r>
      <w:proofErr w:type="spellEnd"/>
      <w:r w:rsidR="00D35D22" w:rsidRPr="00D35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35D22" w:rsidRPr="00D35D22">
        <w:rPr>
          <w:rFonts w:ascii="Times New Roman" w:hAnsi="Times New Roman" w:cs="Times New Roman"/>
          <w:b/>
          <w:sz w:val="28"/>
          <w:szCs w:val="28"/>
        </w:rPr>
        <w:t>законопроєкт</w:t>
      </w:r>
      <w:proofErr w:type="spellEnd"/>
      <w:r w:rsidR="00D35D22" w:rsidRPr="00D35D22">
        <w:rPr>
          <w:rFonts w:ascii="Times New Roman" w:hAnsi="Times New Roman" w:cs="Times New Roman"/>
          <w:b/>
          <w:sz w:val="28"/>
          <w:szCs w:val="28"/>
        </w:rPr>
        <w:t xml:space="preserve"> № 3624.</w:t>
      </w:r>
    </w:p>
    <w:p w:rsidR="00D35D22" w:rsidRPr="00D35D22" w:rsidRDefault="00D35D22" w:rsidP="00D35D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D22" w:rsidRPr="00D35D22" w:rsidRDefault="00D35D22" w:rsidP="00D35D2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35D22" w:rsidRPr="00D35D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D22" w:rsidRDefault="00D35D22" w:rsidP="00D35D22">
      <w:r>
        <w:separator/>
      </w:r>
    </w:p>
  </w:endnote>
  <w:endnote w:type="continuationSeparator" w:id="0">
    <w:p w:rsidR="00D35D22" w:rsidRDefault="00D35D22" w:rsidP="00D35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D22" w:rsidRDefault="00D35D22" w:rsidP="00D35D22">
      <w:r>
        <w:separator/>
      </w:r>
    </w:p>
  </w:footnote>
  <w:footnote w:type="continuationSeparator" w:id="0">
    <w:p w:rsidR="00D35D22" w:rsidRDefault="00D35D22" w:rsidP="00D35D22">
      <w:r>
        <w:continuationSeparator/>
      </w:r>
    </w:p>
  </w:footnote>
  <w:footnote w:id="1">
    <w:p w:rsidR="00D35D22" w:rsidRPr="00136E8F" w:rsidRDefault="00D35D22" w:rsidP="00D35D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  <w:lang w:eastAsia="ru-RU"/>
        </w:rPr>
      </w:pPr>
      <w:r w:rsidRPr="00136E8F">
        <w:rPr>
          <w:rStyle w:val="a6"/>
          <w:rFonts w:ascii="Times New Roman" w:hAnsi="Times New Roman"/>
          <w:szCs w:val="20"/>
        </w:rPr>
        <w:footnoteRef/>
      </w:r>
      <w:r w:rsidRPr="00136E8F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Висновок</w:t>
      </w:r>
      <w:proofErr w:type="spellEnd"/>
      <w:r w:rsidRPr="00136E8F">
        <w:rPr>
          <w:rFonts w:ascii="Times New Roman" w:hAnsi="Times New Roman" w:cs="Times New Roman"/>
          <w:szCs w:val="20"/>
          <w:lang w:eastAsia="ru-RU"/>
        </w:rPr>
        <w:t xml:space="preserve"> № 10 (2007)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Консультативної</w:t>
      </w:r>
      <w:proofErr w:type="spellEnd"/>
      <w:r w:rsidRPr="00136E8F">
        <w:rPr>
          <w:rFonts w:ascii="Times New Roman" w:hAnsi="Times New Roman" w:cs="Times New Roman"/>
          <w:szCs w:val="20"/>
          <w:lang w:eastAsia="ru-RU"/>
        </w:rPr>
        <w:t xml:space="preserve"> ради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європейських</w:t>
      </w:r>
      <w:proofErr w:type="spellEnd"/>
      <w:r w:rsidRPr="00136E8F">
        <w:rPr>
          <w:rFonts w:ascii="Times New Roman" w:hAnsi="Times New Roman" w:cs="Times New Roman"/>
          <w:szCs w:val="20"/>
          <w:lang w:eastAsia="ru-RU"/>
        </w:rPr>
        <w:t xml:space="preserve">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суддів</w:t>
      </w:r>
      <w:proofErr w:type="spellEnd"/>
      <w:r w:rsidRPr="00136E8F">
        <w:rPr>
          <w:rFonts w:ascii="Times New Roman" w:hAnsi="Times New Roman" w:cs="Times New Roman"/>
          <w:szCs w:val="20"/>
          <w:lang w:eastAsia="ru-RU"/>
        </w:rPr>
        <w:t xml:space="preserve"> до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уваги</w:t>
      </w:r>
      <w:proofErr w:type="spellEnd"/>
      <w:r w:rsidRPr="00136E8F">
        <w:rPr>
          <w:rFonts w:ascii="Times New Roman" w:hAnsi="Times New Roman" w:cs="Times New Roman"/>
          <w:szCs w:val="20"/>
          <w:lang w:eastAsia="ru-RU"/>
        </w:rPr>
        <w:t xml:space="preserve">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Комітету</w:t>
      </w:r>
      <w:proofErr w:type="spellEnd"/>
      <w:r w:rsidRPr="00136E8F">
        <w:rPr>
          <w:rFonts w:ascii="Times New Roman" w:hAnsi="Times New Roman" w:cs="Times New Roman"/>
          <w:szCs w:val="20"/>
          <w:lang w:eastAsia="ru-RU"/>
        </w:rPr>
        <w:t xml:space="preserve">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Міністрів</w:t>
      </w:r>
      <w:proofErr w:type="spellEnd"/>
      <w:r w:rsidRPr="00136E8F">
        <w:rPr>
          <w:rFonts w:ascii="Times New Roman" w:hAnsi="Times New Roman" w:cs="Times New Roman"/>
          <w:szCs w:val="20"/>
          <w:lang w:eastAsia="ru-RU"/>
        </w:rPr>
        <w:t xml:space="preserve"> Ради </w:t>
      </w:r>
      <w:proofErr w:type="spellStart"/>
      <w:r w:rsidRPr="00136E8F">
        <w:rPr>
          <w:rFonts w:ascii="Times New Roman" w:hAnsi="Times New Roman" w:cs="Times New Roman"/>
          <w:szCs w:val="20"/>
          <w:lang w:eastAsia="ru-RU"/>
        </w:rPr>
        <w:t>Європи</w:t>
      </w:r>
      <w:proofErr w:type="spellEnd"/>
    </w:p>
    <w:p w:rsidR="00D35D22" w:rsidRPr="00136E8F" w:rsidRDefault="00D35D22" w:rsidP="00D35D22">
      <w:pPr>
        <w:pStyle w:val="a4"/>
        <w:jc w:val="both"/>
        <w:rPr>
          <w:rFonts w:cs="Times New Roman"/>
        </w:rPr>
      </w:pPr>
      <w:r w:rsidRPr="00136E8F">
        <w:rPr>
          <w:rFonts w:cs="Times New Roman"/>
          <w:lang w:eastAsia="ru-RU"/>
        </w:rPr>
        <w:t>щодо судової ради на службі суспільства, пункт 87.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87"/>
    <w:rsid w:val="00024987"/>
    <w:rsid w:val="00136E8F"/>
    <w:rsid w:val="002270C0"/>
    <w:rsid w:val="002D7F22"/>
    <w:rsid w:val="007B511D"/>
    <w:rsid w:val="00A03C44"/>
    <w:rsid w:val="00B52F9E"/>
    <w:rsid w:val="00D35D22"/>
    <w:rsid w:val="00E3141E"/>
    <w:rsid w:val="00F6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F3656"/>
  <w15:chartTrackingRefBased/>
  <w15:docId w15:val="{EC084B12-4943-42E9-8420-FAC5396C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847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F60847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a3">
    <w:name w:val="No Spacing"/>
    <w:uiPriority w:val="1"/>
    <w:qFormat/>
    <w:rsid w:val="00F60847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a4">
    <w:name w:val="footnote text"/>
    <w:basedOn w:val="a"/>
    <w:link w:val="a5"/>
    <w:rsid w:val="00D35D22"/>
    <w:pPr>
      <w:widowControl/>
      <w:suppressAutoHyphens w:val="0"/>
    </w:pPr>
    <w:rPr>
      <w:rFonts w:ascii="Times New Roman" w:eastAsia="Calibri" w:hAnsi="Times New Roman" w:cs="Calibri"/>
      <w:kern w:val="0"/>
      <w:szCs w:val="20"/>
      <w:lang w:val="uk-UA" w:eastAsia="en-US" w:bidi="ar-SA"/>
    </w:rPr>
  </w:style>
  <w:style w:type="character" w:customStyle="1" w:styleId="a5">
    <w:name w:val="Текст виноски Знак"/>
    <w:basedOn w:val="a0"/>
    <w:link w:val="a4"/>
    <w:rsid w:val="00D35D22"/>
    <w:rPr>
      <w:rFonts w:ascii="Times New Roman" w:eastAsia="Calibri" w:hAnsi="Times New Roman" w:cs="Calibri"/>
      <w:sz w:val="20"/>
      <w:szCs w:val="20"/>
    </w:rPr>
  </w:style>
  <w:style w:type="character" w:styleId="a6">
    <w:name w:val="footnote reference"/>
    <w:basedOn w:val="a0"/>
    <w:uiPriority w:val="99"/>
    <w:rsid w:val="00D35D22"/>
    <w:rPr>
      <w:rFonts w:cs="Times New Roman"/>
      <w:vertAlign w:val="superscript"/>
    </w:rPr>
  </w:style>
  <w:style w:type="paragraph" w:styleId="a7">
    <w:name w:val="Normal (Web)"/>
    <w:basedOn w:val="a"/>
    <w:uiPriority w:val="99"/>
    <w:unhideWhenUsed/>
    <w:rsid w:val="00D35D2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en-US" w:eastAsia="en-US" w:bidi="ar-SA"/>
    </w:rPr>
  </w:style>
  <w:style w:type="paragraph" w:customStyle="1" w:styleId="a8">
    <w:name w:val="Нормальний текст"/>
    <w:basedOn w:val="a"/>
    <w:rsid w:val="00D35D22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4096</Words>
  <Characters>2335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Воробйова (HCJ-MONO0218 - o.vorobiova)</dc:creator>
  <cp:keywords/>
  <dc:description/>
  <cp:lastModifiedBy>Олена Воробйова (HCJ-MONO0218 - o.vorobiova)</cp:lastModifiedBy>
  <cp:revision>8</cp:revision>
  <dcterms:created xsi:type="dcterms:W3CDTF">2020-09-23T07:46:00Z</dcterms:created>
  <dcterms:modified xsi:type="dcterms:W3CDTF">2020-09-23T08:14:00Z</dcterms:modified>
</cp:coreProperties>
</file>